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75E" w:rsidRDefault="00096E9F" w:rsidP="00517FAF">
      <w:pPr>
        <w:pStyle w:val="Title"/>
      </w:pPr>
      <w:r>
        <w:t>Incoherent Scatter Radar</w:t>
      </w:r>
      <w:r w:rsidR="00517FAF">
        <w:t xml:space="preserve"> World Day</w:t>
      </w:r>
      <w:r>
        <w:t>s</w:t>
      </w:r>
    </w:p>
    <w:p w:rsidR="00517FAF" w:rsidRDefault="00517FAF"/>
    <w:p w:rsidR="00517FAF" w:rsidRDefault="00517FAF" w:rsidP="00517FAF">
      <w:pPr>
        <w:pStyle w:val="Heading1"/>
      </w:pPr>
      <w:r>
        <w:t>What is a World Day?</w:t>
      </w:r>
    </w:p>
    <w:p w:rsidR="00517FAF" w:rsidRDefault="00517FAF">
      <w:r>
        <w:t>A period of time when ALL Incoherent Scatter Radars operate simultaneously with a single science aim.  This can be a single day or maybe as much as 5 days of continuous or quasi-continuous operation.</w:t>
      </w:r>
      <w:r w:rsidR="008F41B8">
        <w:t xml:space="preserve">  The data taken during this period is freely available for ALL users, not just the world day proposers. </w:t>
      </w:r>
    </w:p>
    <w:p w:rsidR="008F41B8" w:rsidRDefault="008F41B8"/>
    <w:p w:rsidR="008F41B8" w:rsidRDefault="008F41B8" w:rsidP="008F41B8">
      <w:pPr>
        <w:pStyle w:val="Heading1"/>
      </w:pPr>
      <w:r>
        <w:t>Do all of the radars have to operate?</w:t>
      </w:r>
    </w:p>
    <w:p w:rsidR="008F41B8" w:rsidRDefault="008F41B8">
      <w:r>
        <w:t xml:space="preserve">No.  Ideally a world day would incorporate all radars BUT if your science topic only requires (for example) the high latitude radars then you can just request these. However, you must state this clearly in your proposal. </w:t>
      </w:r>
    </w:p>
    <w:p w:rsidR="008F41B8" w:rsidRDefault="008F41B8"/>
    <w:p w:rsidR="008F41B8" w:rsidRDefault="008F41B8" w:rsidP="008F41B8">
      <w:pPr>
        <w:pStyle w:val="Heading1"/>
      </w:pPr>
      <w:r>
        <w:t>Can all of the radars run at all times?</w:t>
      </w:r>
    </w:p>
    <w:p w:rsidR="00E330BD" w:rsidRDefault="008F41B8">
      <w:r>
        <w:t xml:space="preserve">No. Some radars are limited by staff time, available hours, maintenance time etc.  Time of year can be a big factor, for example it is very difficult to operate the EISCAT radars across the Christmas/New year period.  </w:t>
      </w:r>
      <w:r w:rsidR="004054DA">
        <w:t>It is important to establish what can be run and when!</w:t>
      </w:r>
      <w:r w:rsidR="00E330BD">
        <w:t xml:space="preserve"> Some limitation are discussed later on, but talking to the individuals responsible for the radars early on should help with your planning.</w:t>
      </w:r>
    </w:p>
    <w:p w:rsidR="00517FAF" w:rsidRDefault="00517FAF"/>
    <w:p w:rsidR="00E330BD" w:rsidRDefault="00E330BD" w:rsidP="00096E9F">
      <w:pPr>
        <w:pStyle w:val="Heading1"/>
      </w:pPr>
      <w:r>
        <w:t>How are World Days selected?</w:t>
      </w:r>
    </w:p>
    <w:p w:rsidR="00E330BD" w:rsidRDefault="00E330BD">
      <w:r>
        <w:t>The proposals are discussed at the World Day meeting at the CEDAR workshop. This meeting is chaired by the Chair or vice chair of the URSI Incoherent Scatter working group.  Proposers are encouraged to attend this meeting and join in the discussion. Representatives from the radars will be present if possible and a consensus on which world days to run will be achieved.  This may involves some merging of similar proposals, or reductions in time to some proposals.  We aim to limit the absolute number of days of operated as world days to under 25-30 days.</w:t>
      </w:r>
      <w:r w:rsidR="008A3FC2">
        <w:t xml:space="preserve"> A preliminary calendar is drawn up at the meeting.</w:t>
      </w:r>
    </w:p>
    <w:p w:rsidR="00E330BD" w:rsidRDefault="00E330BD"/>
    <w:p w:rsidR="008A3FC2" w:rsidRDefault="008A3FC2" w:rsidP="008A3FC2">
      <w:pPr>
        <w:pStyle w:val="Heading1"/>
      </w:pPr>
      <w:r>
        <w:t>What happens if my proposal is accepted?</w:t>
      </w:r>
    </w:p>
    <w:p w:rsidR="008A3FC2" w:rsidRDefault="008A3FC2">
      <w:r>
        <w:t>If your proposal is accepted and entered into the preliminary calendar it is then up to you to ensure that each of the radar representatives knows exactly what mode their radar ought to be operating in.  I.e. how the radar should be scanning? What altitude range should be focused on (do you know the exact code to use?)? It is not enough to discuss with only one radar representative, you need to make sure that each radar that you intend to run knows what they are doing.</w:t>
      </w:r>
    </w:p>
    <w:p w:rsidR="008A3FC2" w:rsidRDefault="008A3FC2"/>
    <w:p w:rsidR="00517FAF" w:rsidRDefault="00517FAF" w:rsidP="00517FAF">
      <w:pPr>
        <w:pStyle w:val="Heading1"/>
      </w:pPr>
      <w:r>
        <w:lastRenderedPageBreak/>
        <w:t>Where are the radars?</w:t>
      </w:r>
    </w:p>
    <w:p w:rsidR="008F41B8" w:rsidRDefault="00517FAF">
      <w:r>
        <w:t>The table below lists radar</w:t>
      </w:r>
      <w:r w:rsidR="008F41B8">
        <w:t>s that may be available for use, including th</w:t>
      </w:r>
      <w:r w:rsidR="008A3FC2">
        <w:t xml:space="preserve">eir locations and the principle </w:t>
      </w:r>
      <w:r w:rsidR="008F41B8">
        <w:t>contacts where available.</w:t>
      </w:r>
    </w:p>
    <w:tbl>
      <w:tblPr>
        <w:tblStyle w:val="TableGrid"/>
        <w:tblW w:w="0" w:type="auto"/>
        <w:tblLook w:val="04A0" w:firstRow="1" w:lastRow="0" w:firstColumn="1" w:lastColumn="0" w:noHBand="0" w:noVBand="1"/>
      </w:tblPr>
      <w:tblGrid>
        <w:gridCol w:w="1778"/>
        <w:gridCol w:w="3099"/>
        <w:gridCol w:w="853"/>
        <w:gridCol w:w="830"/>
        <w:gridCol w:w="2456"/>
      </w:tblGrid>
      <w:tr w:rsidR="003C3517" w:rsidTr="00405369">
        <w:tc>
          <w:tcPr>
            <w:tcW w:w="1800" w:type="dxa"/>
          </w:tcPr>
          <w:p w:rsidR="008A3FC2" w:rsidRDefault="00025D5E" w:rsidP="008A3FC2">
            <w:hyperlink r:id="rId5" w:history="1">
              <w:r w:rsidR="000E1D93" w:rsidRPr="000E1D93">
                <w:rPr>
                  <w:rStyle w:val="Hyperlink"/>
                </w:rPr>
                <w:t>PF</w:t>
              </w:r>
              <w:r w:rsidR="008A3FC2" w:rsidRPr="000E1D93">
                <w:rPr>
                  <w:rStyle w:val="Hyperlink"/>
                </w:rPr>
                <w:t>ISR</w:t>
              </w:r>
            </w:hyperlink>
          </w:p>
        </w:tc>
        <w:tc>
          <w:tcPr>
            <w:tcW w:w="3150" w:type="dxa"/>
          </w:tcPr>
          <w:p w:rsidR="008A3FC2" w:rsidRDefault="008A3FC2" w:rsidP="008A3FC2">
            <w:r>
              <w:t>Poker Flat, Alaska</w:t>
            </w:r>
          </w:p>
        </w:tc>
        <w:tc>
          <w:tcPr>
            <w:tcW w:w="854" w:type="dxa"/>
          </w:tcPr>
          <w:p w:rsidR="008A3FC2" w:rsidRDefault="008A3FC2" w:rsidP="008A3FC2">
            <w:r>
              <w:t>65.13</w:t>
            </w:r>
          </w:p>
        </w:tc>
        <w:tc>
          <w:tcPr>
            <w:tcW w:w="715" w:type="dxa"/>
          </w:tcPr>
          <w:p w:rsidR="008A3FC2" w:rsidRDefault="00B678D2" w:rsidP="008A3FC2">
            <w:r>
              <w:t>-</w:t>
            </w:r>
            <w:r w:rsidR="008A3FC2">
              <w:t>47.04</w:t>
            </w:r>
          </w:p>
        </w:tc>
        <w:tc>
          <w:tcPr>
            <w:tcW w:w="2497" w:type="dxa"/>
          </w:tcPr>
          <w:p w:rsidR="008A3FC2" w:rsidRDefault="008A3FC2" w:rsidP="008A3FC2">
            <w:r>
              <w:t>Roger Varney</w:t>
            </w:r>
          </w:p>
        </w:tc>
      </w:tr>
      <w:tr w:rsidR="003C3517" w:rsidTr="00405369">
        <w:tc>
          <w:tcPr>
            <w:tcW w:w="1800" w:type="dxa"/>
          </w:tcPr>
          <w:p w:rsidR="008A3FC2" w:rsidRDefault="00025D5E" w:rsidP="008A3FC2">
            <w:hyperlink r:id="rId6" w:history="1">
              <w:r w:rsidR="00B678D2" w:rsidRPr="000E1D93">
                <w:rPr>
                  <w:rStyle w:val="Hyperlink"/>
                </w:rPr>
                <w:t>RISR-N</w:t>
              </w:r>
            </w:hyperlink>
          </w:p>
        </w:tc>
        <w:tc>
          <w:tcPr>
            <w:tcW w:w="3150" w:type="dxa"/>
          </w:tcPr>
          <w:p w:rsidR="008A3FC2" w:rsidRDefault="00B678D2" w:rsidP="008A3FC2">
            <w:r>
              <w:t>Resolute Bay, Canada (North facing)</w:t>
            </w:r>
          </w:p>
        </w:tc>
        <w:tc>
          <w:tcPr>
            <w:tcW w:w="854" w:type="dxa"/>
          </w:tcPr>
          <w:p w:rsidR="008A3FC2" w:rsidRDefault="00B678D2" w:rsidP="008A3FC2">
            <w:r>
              <w:t>74.73</w:t>
            </w:r>
          </w:p>
        </w:tc>
        <w:tc>
          <w:tcPr>
            <w:tcW w:w="715" w:type="dxa"/>
          </w:tcPr>
          <w:p w:rsidR="008A3FC2" w:rsidRDefault="00B678D2" w:rsidP="008A3FC2">
            <w:r>
              <w:t>-94.91</w:t>
            </w:r>
          </w:p>
        </w:tc>
        <w:tc>
          <w:tcPr>
            <w:tcW w:w="2497" w:type="dxa"/>
          </w:tcPr>
          <w:p w:rsidR="008A3FC2" w:rsidRDefault="00B678D2" w:rsidP="008A3FC2">
            <w:r>
              <w:t>Roger Varney</w:t>
            </w:r>
          </w:p>
        </w:tc>
      </w:tr>
      <w:tr w:rsidR="003C3517" w:rsidTr="00405369">
        <w:tc>
          <w:tcPr>
            <w:tcW w:w="1800" w:type="dxa"/>
          </w:tcPr>
          <w:p w:rsidR="00B678D2" w:rsidRDefault="00025D5E" w:rsidP="00B678D2">
            <w:hyperlink r:id="rId7" w:history="1">
              <w:r w:rsidR="000E1D93" w:rsidRPr="000E1D93">
                <w:rPr>
                  <w:rStyle w:val="Hyperlink"/>
                </w:rPr>
                <w:t>RISR-</w:t>
              </w:r>
              <w:r w:rsidR="00B678D2" w:rsidRPr="000E1D93">
                <w:rPr>
                  <w:rStyle w:val="Hyperlink"/>
                </w:rPr>
                <w:t>C</w:t>
              </w:r>
            </w:hyperlink>
          </w:p>
        </w:tc>
        <w:tc>
          <w:tcPr>
            <w:tcW w:w="3150" w:type="dxa"/>
          </w:tcPr>
          <w:p w:rsidR="00B678D2" w:rsidRDefault="00B678D2" w:rsidP="00B678D2">
            <w:r>
              <w:t>Resolute Bay, Canada (South facing)</w:t>
            </w:r>
          </w:p>
        </w:tc>
        <w:tc>
          <w:tcPr>
            <w:tcW w:w="854" w:type="dxa"/>
          </w:tcPr>
          <w:p w:rsidR="00B678D2" w:rsidRDefault="00B678D2" w:rsidP="00B678D2">
            <w:r>
              <w:t>74.73</w:t>
            </w:r>
          </w:p>
        </w:tc>
        <w:tc>
          <w:tcPr>
            <w:tcW w:w="715" w:type="dxa"/>
          </w:tcPr>
          <w:p w:rsidR="00B678D2" w:rsidRDefault="00B678D2" w:rsidP="00B678D2">
            <w:r>
              <w:t>-94.91</w:t>
            </w:r>
          </w:p>
        </w:tc>
        <w:tc>
          <w:tcPr>
            <w:tcW w:w="2497" w:type="dxa"/>
          </w:tcPr>
          <w:p w:rsidR="00B678D2" w:rsidRDefault="000E1D93" w:rsidP="00B678D2">
            <w:r>
              <w:t>Robert Gillies</w:t>
            </w:r>
          </w:p>
        </w:tc>
      </w:tr>
      <w:tr w:rsidR="003C3517" w:rsidTr="00405369">
        <w:tc>
          <w:tcPr>
            <w:tcW w:w="1800" w:type="dxa"/>
          </w:tcPr>
          <w:p w:rsidR="00B678D2" w:rsidRDefault="00025D5E" w:rsidP="00B678D2">
            <w:hyperlink r:id="rId8" w:history="1">
              <w:r w:rsidR="000E1D93" w:rsidRPr="000E1D93">
                <w:rPr>
                  <w:rStyle w:val="Hyperlink"/>
                </w:rPr>
                <w:t>EISCAT mainland</w:t>
              </w:r>
            </w:hyperlink>
          </w:p>
        </w:tc>
        <w:tc>
          <w:tcPr>
            <w:tcW w:w="3150" w:type="dxa"/>
          </w:tcPr>
          <w:p w:rsidR="00B678D2" w:rsidRDefault="000E1D93" w:rsidP="000E1D93">
            <w:proofErr w:type="spellStart"/>
            <w:r>
              <w:t>Troms</w:t>
            </w:r>
            <w:r>
              <w:rPr>
                <w:rFonts w:cstheme="minorHAnsi"/>
              </w:rPr>
              <w:t>ø</w:t>
            </w:r>
            <w:proofErr w:type="spellEnd"/>
            <w:r>
              <w:t>, Norway</w:t>
            </w:r>
          </w:p>
        </w:tc>
        <w:tc>
          <w:tcPr>
            <w:tcW w:w="854" w:type="dxa"/>
          </w:tcPr>
          <w:p w:rsidR="00B678D2" w:rsidRDefault="00405369" w:rsidP="00B678D2">
            <w:r>
              <w:t>69.58</w:t>
            </w:r>
          </w:p>
        </w:tc>
        <w:tc>
          <w:tcPr>
            <w:tcW w:w="715" w:type="dxa"/>
          </w:tcPr>
          <w:p w:rsidR="00B678D2" w:rsidRDefault="00405369" w:rsidP="00B678D2">
            <w:r>
              <w:t>19.23</w:t>
            </w:r>
          </w:p>
        </w:tc>
        <w:tc>
          <w:tcPr>
            <w:tcW w:w="2497" w:type="dxa"/>
          </w:tcPr>
          <w:p w:rsidR="00B678D2" w:rsidRDefault="00405369" w:rsidP="00405369">
            <w:r>
              <w:t>Ingemar H</w:t>
            </w:r>
            <w:r>
              <w:rPr>
                <w:rFonts w:cstheme="minorHAnsi"/>
              </w:rPr>
              <w:t>ä</w:t>
            </w:r>
            <w:r>
              <w:t>ggstr</w:t>
            </w:r>
            <w:r>
              <w:rPr>
                <w:rFonts w:cstheme="minorHAnsi"/>
              </w:rPr>
              <w:t>ö</w:t>
            </w:r>
            <w:r>
              <w:t>m</w:t>
            </w:r>
          </w:p>
        </w:tc>
      </w:tr>
      <w:tr w:rsidR="003C3517" w:rsidTr="00405369">
        <w:tc>
          <w:tcPr>
            <w:tcW w:w="1800" w:type="dxa"/>
          </w:tcPr>
          <w:p w:rsidR="00405369" w:rsidRDefault="00025D5E" w:rsidP="00405369">
            <w:hyperlink r:id="rId9" w:history="1">
              <w:r w:rsidR="00405369" w:rsidRPr="000E1D93">
                <w:rPr>
                  <w:rStyle w:val="Hyperlink"/>
                </w:rPr>
                <w:t>EISCAT Svalbard</w:t>
              </w:r>
            </w:hyperlink>
          </w:p>
        </w:tc>
        <w:tc>
          <w:tcPr>
            <w:tcW w:w="3150" w:type="dxa"/>
          </w:tcPr>
          <w:p w:rsidR="00405369" w:rsidRDefault="00405369" w:rsidP="00405369">
            <w:r>
              <w:t>Longyearbyen, Svalbard</w:t>
            </w:r>
          </w:p>
        </w:tc>
        <w:tc>
          <w:tcPr>
            <w:tcW w:w="854" w:type="dxa"/>
          </w:tcPr>
          <w:p w:rsidR="00405369" w:rsidRDefault="00405369" w:rsidP="00405369">
            <w:r>
              <w:t>78.15</w:t>
            </w:r>
          </w:p>
        </w:tc>
        <w:tc>
          <w:tcPr>
            <w:tcW w:w="715" w:type="dxa"/>
          </w:tcPr>
          <w:p w:rsidR="00405369" w:rsidRDefault="00405369" w:rsidP="00405369">
            <w:r>
              <w:t>16.02</w:t>
            </w:r>
          </w:p>
        </w:tc>
        <w:tc>
          <w:tcPr>
            <w:tcW w:w="2497" w:type="dxa"/>
          </w:tcPr>
          <w:p w:rsidR="00405369" w:rsidRDefault="00405369" w:rsidP="00405369">
            <w:r>
              <w:t>Ingemar H</w:t>
            </w:r>
            <w:r>
              <w:rPr>
                <w:rFonts w:cstheme="minorHAnsi"/>
              </w:rPr>
              <w:t>ä</w:t>
            </w:r>
            <w:r>
              <w:t>ggstr</w:t>
            </w:r>
            <w:r>
              <w:rPr>
                <w:rFonts w:cstheme="minorHAnsi"/>
              </w:rPr>
              <w:t>ö</w:t>
            </w:r>
            <w:r>
              <w:t>m</w:t>
            </w:r>
          </w:p>
        </w:tc>
      </w:tr>
      <w:tr w:rsidR="003C3517" w:rsidTr="00405369">
        <w:tc>
          <w:tcPr>
            <w:tcW w:w="1800" w:type="dxa"/>
          </w:tcPr>
          <w:p w:rsidR="00405369" w:rsidRDefault="00025D5E" w:rsidP="00405369">
            <w:hyperlink r:id="rId10" w:history="1">
              <w:r w:rsidR="00405369" w:rsidRPr="00405369">
                <w:rPr>
                  <w:rStyle w:val="Hyperlink"/>
                </w:rPr>
                <w:t>Millstone Hill</w:t>
              </w:r>
            </w:hyperlink>
          </w:p>
        </w:tc>
        <w:tc>
          <w:tcPr>
            <w:tcW w:w="3150" w:type="dxa"/>
          </w:tcPr>
          <w:p w:rsidR="00405369" w:rsidRDefault="00405369" w:rsidP="00405369">
            <w:r>
              <w:t>Haystack Observatory, USA</w:t>
            </w:r>
          </w:p>
        </w:tc>
        <w:tc>
          <w:tcPr>
            <w:tcW w:w="854" w:type="dxa"/>
          </w:tcPr>
          <w:p w:rsidR="00405369" w:rsidRDefault="00405369" w:rsidP="00405369">
            <w:r>
              <w:t>42.62</w:t>
            </w:r>
          </w:p>
        </w:tc>
        <w:tc>
          <w:tcPr>
            <w:tcW w:w="715" w:type="dxa"/>
          </w:tcPr>
          <w:p w:rsidR="00405369" w:rsidRDefault="00405369" w:rsidP="00405369">
            <w:r>
              <w:t>288.51</w:t>
            </w:r>
          </w:p>
        </w:tc>
        <w:tc>
          <w:tcPr>
            <w:tcW w:w="2497" w:type="dxa"/>
          </w:tcPr>
          <w:p w:rsidR="00405369" w:rsidRDefault="00405369" w:rsidP="00405369">
            <w:r>
              <w:t>Philip Erikson</w:t>
            </w:r>
          </w:p>
        </w:tc>
      </w:tr>
      <w:tr w:rsidR="00937725" w:rsidTr="00405369">
        <w:tc>
          <w:tcPr>
            <w:tcW w:w="1800" w:type="dxa"/>
          </w:tcPr>
          <w:p w:rsidR="00405369" w:rsidRDefault="00405369" w:rsidP="00405369">
            <w:proofErr w:type="spellStart"/>
            <w:r>
              <w:t>Jicamarca</w:t>
            </w:r>
            <w:proofErr w:type="spellEnd"/>
          </w:p>
        </w:tc>
        <w:tc>
          <w:tcPr>
            <w:tcW w:w="3150" w:type="dxa"/>
          </w:tcPr>
          <w:p w:rsidR="00405369" w:rsidRDefault="00405369" w:rsidP="00405369">
            <w:r>
              <w:t>Peru</w:t>
            </w:r>
          </w:p>
        </w:tc>
        <w:tc>
          <w:tcPr>
            <w:tcW w:w="854" w:type="dxa"/>
          </w:tcPr>
          <w:p w:rsidR="00405369" w:rsidRDefault="00405369" w:rsidP="00405369">
            <w:r>
              <w:t>-11.95</w:t>
            </w:r>
          </w:p>
        </w:tc>
        <w:tc>
          <w:tcPr>
            <w:tcW w:w="715" w:type="dxa"/>
          </w:tcPr>
          <w:p w:rsidR="00405369" w:rsidRDefault="00B82DCD" w:rsidP="00405369">
            <w:r>
              <w:t>-76.87</w:t>
            </w:r>
          </w:p>
        </w:tc>
        <w:tc>
          <w:tcPr>
            <w:tcW w:w="2497" w:type="dxa"/>
          </w:tcPr>
          <w:p w:rsidR="00405369" w:rsidRDefault="00025D5E" w:rsidP="00405369">
            <w:r w:rsidRPr="00025D5E">
              <w:t xml:space="preserve">Marco </w:t>
            </w:r>
            <w:proofErr w:type="spellStart"/>
            <w:r w:rsidRPr="00025D5E">
              <w:t>Milla</w:t>
            </w:r>
            <w:proofErr w:type="spellEnd"/>
          </w:p>
        </w:tc>
      </w:tr>
      <w:tr w:rsidR="00937725" w:rsidTr="00405369">
        <w:tc>
          <w:tcPr>
            <w:tcW w:w="1800" w:type="dxa"/>
          </w:tcPr>
          <w:p w:rsidR="00405369" w:rsidRDefault="00025D5E" w:rsidP="00405369">
            <w:hyperlink r:id="rId11" w:history="1">
              <w:r w:rsidR="00405369" w:rsidRPr="00B82DCD">
                <w:rPr>
                  <w:rStyle w:val="Hyperlink"/>
                </w:rPr>
                <w:t>Arecibo</w:t>
              </w:r>
            </w:hyperlink>
          </w:p>
        </w:tc>
        <w:tc>
          <w:tcPr>
            <w:tcW w:w="3150" w:type="dxa"/>
          </w:tcPr>
          <w:p w:rsidR="00405369" w:rsidRDefault="00B82DCD" w:rsidP="00405369">
            <w:r>
              <w:t>Puerto Rico</w:t>
            </w:r>
          </w:p>
        </w:tc>
        <w:tc>
          <w:tcPr>
            <w:tcW w:w="854" w:type="dxa"/>
          </w:tcPr>
          <w:p w:rsidR="00405369" w:rsidRDefault="00405369" w:rsidP="00405369"/>
        </w:tc>
        <w:tc>
          <w:tcPr>
            <w:tcW w:w="715" w:type="dxa"/>
          </w:tcPr>
          <w:p w:rsidR="00405369" w:rsidRDefault="00405369" w:rsidP="00405369"/>
        </w:tc>
        <w:tc>
          <w:tcPr>
            <w:tcW w:w="2497" w:type="dxa"/>
          </w:tcPr>
          <w:p w:rsidR="00405369" w:rsidRDefault="00025D5E" w:rsidP="00405369">
            <w:r w:rsidRPr="00025D5E">
              <w:t>Mike Sulzer</w:t>
            </w:r>
          </w:p>
        </w:tc>
      </w:tr>
      <w:tr w:rsidR="00937725" w:rsidTr="00405369">
        <w:tc>
          <w:tcPr>
            <w:tcW w:w="1800" w:type="dxa"/>
          </w:tcPr>
          <w:p w:rsidR="00405369" w:rsidRDefault="00405369" w:rsidP="00405369">
            <w:proofErr w:type="spellStart"/>
            <w:r>
              <w:t>Kharkiv</w:t>
            </w:r>
            <w:proofErr w:type="spellEnd"/>
            <w:r w:rsidR="00B82DCD">
              <w:t>*</w:t>
            </w:r>
          </w:p>
        </w:tc>
        <w:tc>
          <w:tcPr>
            <w:tcW w:w="3150" w:type="dxa"/>
          </w:tcPr>
          <w:p w:rsidR="00405369" w:rsidRDefault="00B82DCD" w:rsidP="00405369">
            <w:r>
              <w:t>Ukraine</w:t>
            </w:r>
          </w:p>
        </w:tc>
        <w:tc>
          <w:tcPr>
            <w:tcW w:w="854" w:type="dxa"/>
          </w:tcPr>
          <w:p w:rsidR="00405369" w:rsidRDefault="00B82DCD" w:rsidP="00405369">
            <w:r>
              <w:t>49.6</w:t>
            </w:r>
          </w:p>
        </w:tc>
        <w:tc>
          <w:tcPr>
            <w:tcW w:w="715" w:type="dxa"/>
          </w:tcPr>
          <w:p w:rsidR="00405369" w:rsidRDefault="00B82DCD" w:rsidP="00405369">
            <w:r>
              <w:t>36.3</w:t>
            </w:r>
          </w:p>
        </w:tc>
        <w:tc>
          <w:tcPr>
            <w:tcW w:w="2497" w:type="dxa"/>
          </w:tcPr>
          <w:p w:rsidR="00405369" w:rsidRDefault="00B82DCD" w:rsidP="00405369">
            <w:proofErr w:type="spellStart"/>
            <w:r>
              <w:t>Sergii</w:t>
            </w:r>
            <w:proofErr w:type="spellEnd"/>
            <w:r>
              <w:t xml:space="preserve"> </w:t>
            </w:r>
            <w:proofErr w:type="spellStart"/>
            <w:r>
              <w:t>Panasenko</w:t>
            </w:r>
            <w:proofErr w:type="spellEnd"/>
          </w:p>
        </w:tc>
      </w:tr>
      <w:tr w:rsidR="00937725" w:rsidTr="00405369">
        <w:tc>
          <w:tcPr>
            <w:tcW w:w="1800" w:type="dxa"/>
          </w:tcPr>
          <w:p w:rsidR="00405369" w:rsidRDefault="003C3517" w:rsidP="00405369">
            <w:r>
              <w:t>QJISR</w:t>
            </w:r>
            <w:r w:rsidR="00B82DCD">
              <w:t>*</w:t>
            </w:r>
          </w:p>
        </w:tc>
        <w:tc>
          <w:tcPr>
            <w:tcW w:w="3150" w:type="dxa"/>
          </w:tcPr>
          <w:p w:rsidR="00405369" w:rsidRDefault="00B82DCD" w:rsidP="00405369">
            <w:proofErr w:type="spellStart"/>
            <w:r>
              <w:t>Qujing</w:t>
            </w:r>
            <w:proofErr w:type="spellEnd"/>
            <w:r>
              <w:t xml:space="preserve"> City, China</w:t>
            </w:r>
          </w:p>
        </w:tc>
        <w:tc>
          <w:tcPr>
            <w:tcW w:w="854" w:type="dxa"/>
          </w:tcPr>
          <w:p w:rsidR="00405369" w:rsidRDefault="003C3517" w:rsidP="00405369">
            <w:r>
              <w:t>25.6</w:t>
            </w:r>
          </w:p>
        </w:tc>
        <w:tc>
          <w:tcPr>
            <w:tcW w:w="715" w:type="dxa"/>
          </w:tcPr>
          <w:p w:rsidR="00405369" w:rsidRDefault="003C3517" w:rsidP="00405369">
            <w:r>
              <w:t>103.8</w:t>
            </w:r>
          </w:p>
        </w:tc>
        <w:tc>
          <w:tcPr>
            <w:tcW w:w="2497" w:type="dxa"/>
          </w:tcPr>
          <w:p w:rsidR="00405369" w:rsidRDefault="003C3517" w:rsidP="00405369">
            <w:r>
              <w:t xml:space="preserve">Ding </w:t>
            </w:r>
            <w:proofErr w:type="spellStart"/>
            <w:r>
              <w:t>Zomnghua</w:t>
            </w:r>
            <w:proofErr w:type="spellEnd"/>
          </w:p>
        </w:tc>
      </w:tr>
      <w:tr w:rsidR="003C3517" w:rsidTr="003C3517">
        <w:trPr>
          <w:trHeight w:val="70"/>
        </w:trPr>
        <w:tc>
          <w:tcPr>
            <w:tcW w:w="1800" w:type="dxa"/>
          </w:tcPr>
          <w:p w:rsidR="00405369" w:rsidRDefault="003C3517" w:rsidP="00405369">
            <w:r>
              <w:t>Irkutsk*</w:t>
            </w:r>
          </w:p>
        </w:tc>
        <w:tc>
          <w:tcPr>
            <w:tcW w:w="3150" w:type="dxa"/>
          </w:tcPr>
          <w:p w:rsidR="00405369" w:rsidRDefault="003C3517" w:rsidP="00405369">
            <w:r>
              <w:t>Siberia, Russia.</w:t>
            </w:r>
          </w:p>
        </w:tc>
        <w:tc>
          <w:tcPr>
            <w:tcW w:w="854" w:type="dxa"/>
          </w:tcPr>
          <w:p w:rsidR="00405369" w:rsidRDefault="003C3517" w:rsidP="00405369">
            <w:r>
              <w:t>52.86</w:t>
            </w:r>
          </w:p>
        </w:tc>
        <w:tc>
          <w:tcPr>
            <w:tcW w:w="715" w:type="dxa"/>
          </w:tcPr>
          <w:p w:rsidR="00405369" w:rsidRDefault="003C3517" w:rsidP="00405369">
            <w:r>
              <w:t>103.23</w:t>
            </w:r>
          </w:p>
        </w:tc>
        <w:tc>
          <w:tcPr>
            <w:tcW w:w="2497" w:type="dxa"/>
          </w:tcPr>
          <w:p w:rsidR="00405369" w:rsidRDefault="003C3517" w:rsidP="003C3517">
            <w:r>
              <w:t xml:space="preserve">A. </w:t>
            </w:r>
            <w:proofErr w:type="spellStart"/>
            <w:r>
              <w:t>Potekhin</w:t>
            </w:r>
            <w:proofErr w:type="spellEnd"/>
          </w:p>
        </w:tc>
      </w:tr>
      <w:tr w:rsidR="00937725" w:rsidTr="003C3517">
        <w:trPr>
          <w:trHeight w:val="70"/>
        </w:trPr>
        <w:tc>
          <w:tcPr>
            <w:tcW w:w="1800" w:type="dxa"/>
          </w:tcPr>
          <w:p w:rsidR="00937725" w:rsidRDefault="00025D5E" w:rsidP="00405369">
            <w:hyperlink r:id="rId12" w:history="1">
              <w:r w:rsidR="00937725" w:rsidRPr="00937725">
                <w:rPr>
                  <w:rStyle w:val="Hyperlink"/>
                </w:rPr>
                <w:t>PAANSY</w:t>
              </w:r>
            </w:hyperlink>
            <w:r w:rsidR="00937725">
              <w:t>*</w:t>
            </w:r>
          </w:p>
        </w:tc>
        <w:tc>
          <w:tcPr>
            <w:tcW w:w="3150" w:type="dxa"/>
          </w:tcPr>
          <w:p w:rsidR="00937725" w:rsidRDefault="00937725" w:rsidP="00405369">
            <w:r>
              <w:t>Syowa, Antarctica</w:t>
            </w:r>
          </w:p>
        </w:tc>
        <w:tc>
          <w:tcPr>
            <w:tcW w:w="854" w:type="dxa"/>
          </w:tcPr>
          <w:p w:rsidR="00937725" w:rsidRDefault="00937725" w:rsidP="00405369">
            <w:r>
              <w:t>69.900</w:t>
            </w:r>
          </w:p>
        </w:tc>
        <w:tc>
          <w:tcPr>
            <w:tcW w:w="715" w:type="dxa"/>
          </w:tcPr>
          <w:p w:rsidR="00937725" w:rsidRDefault="00937725" w:rsidP="00405369">
            <w:r>
              <w:t>39.58</w:t>
            </w:r>
          </w:p>
        </w:tc>
        <w:tc>
          <w:tcPr>
            <w:tcW w:w="2497" w:type="dxa"/>
          </w:tcPr>
          <w:p w:rsidR="00937725" w:rsidRDefault="00937725" w:rsidP="003C3517">
            <w:r>
              <w:t>Kaoru Sato</w:t>
            </w:r>
          </w:p>
        </w:tc>
      </w:tr>
    </w:tbl>
    <w:p w:rsidR="008A3FC2" w:rsidRDefault="008A3FC2" w:rsidP="008A3FC2"/>
    <w:p w:rsidR="008F41B8" w:rsidRDefault="00A53442">
      <w:r>
        <w:t xml:space="preserve">* </w:t>
      </w:r>
      <w:proofErr w:type="gramStart"/>
      <w:r>
        <w:t>these</w:t>
      </w:r>
      <w:proofErr w:type="gramEnd"/>
      <w:r>
        <w:t xml:space="preserve"> radars have not routinely provided World Day data in the past (though some like Irkutsk have taken part), but may be positioned to do so in the future if required.</w:t>
      </w:r>
    </w:p>
    <w:p w:rsidR="00517FAF" w:rsidRDefault="008F41B8" w:rsidP="00A53442">
      <w:pPr>
        <w:pStyle w:val="Heading1"/>
      </w:pPr>
      <w:r>
        <w:t>How do I Apply?</w:t>
      </w:r>
      <w:bookmarkStart w:id="0" w:name="_GoBack"/>
      <w:bookmarkEnd w:id="0"/>
    </w:p>
    <w:p w:rsidR="008F41B8" w:rsidRDefault="008F41B8">
      <w:r>
        <w:t>To apply for World Day time you need to provide the following</w:t>
      </w:r>
    </w:p>
    <w:p w:rsidR="008F41B8" w:rsidRDefault="008F41B8" w:rsidP="00A53442">
      <w:pPr>
        <w:pStyle w:val="ListParagraph"/>
        <w:numPr>
          <w:ilvl w:val="0"/>
          <w:numId w:val="5"/>
        </w:numPr>
      </w:pPr>
      <w:r>
        <w:t>A compelling science case (approximate 2 pages)</w:t>
      </w:r>
    </w:p>
    <w:p w:rsidR="008F41B8" w:rsidRDefault="008F41B8" w:rsidP="00096E9F">
      <w:pPr>
        <w:pStyle w:val="ListParagraph"/>
        <w:numPr>
          <w:ilvl w:val="0"/>
          <w:numId w:val="1"/>
        </w:numPr>
      </w:pPr>
      <w:r>
        <w:t xml:space="preserve">A list of radars that are required. This must include details of the types of experiment mode that each radar should operate. </w:t>
      </w:r>
    </w:p>
    <w:p w:rsidR="004054DA" w:rsidRDefault="004054DA" w:rsidP="00096E9F">
      <w:pPr>
        <w:pStyle w:val="ListParagraph"/>
        <w:numPr>
          <w:ilvl w:val="0"/>
          <w:numId w:val="1"/>
        </w:numPr>
      </w:pPr>
      <w:r>
        <w:t xml:space="preserve">The time of year that the World Day should occur (ideally specific dates).  It is possible to run on an alert basis but not all radars can accommodate this easily. </w:t>
      </w:r>
    </w:p>
    <w:p w:rsidR="004054DA" w:rsidRDefault="004054DA" w:rsidP="00096E9F">
      <w:pPr>
        <w:pStyle w:val="ListParagraph"/>
        <w:numPr>
          <w:ilvl w:val="0"/>
          <w:numId w:val="1"/>
        </w:numPr>
      </w:pPr>
      <w:r>
        <w:t>Times of d</w:t>
      </w:r>
      <w:r w:rsidR="00A53442">
        <w:t>ay that are of most importance (useful for radars unable to run continuously)</w:t>
      </w:r>
    </w:p>
    <w:p w:rsidR="00A53442" w:rsidRDefault="00A53442" w:rsidP="00A53442"/>
    <w:p w:rsidR="00A53442" w:rsidRDefault="00A53442" w:rsidP="00A53442">
      <w:pPr>
        <w:pStyle w:val="Heading1"/>
      </w:pPr>
      <w:r>
        <w:t xml:space="preserve">What should I include in the science </w:t>
      </w:r>
      <w:proofErr w:type="gramStart"/>
      <w:r>
        <w:t>case:</w:t>
      </w:r>
      <w:proofErr w:type="gramEnd"/>
    </w:p>
    <w:p w:rsidR="00A53442" w:rsidRDefault="00A53442" w:rsidP="00A53442">
      <w:pPr>
        <w:pStyle w:val="ListParagraph"/>
        <w:numPr>
          <w:ilvl w:val="0"/>
          <w:numId w:val="5"/>
        </w:numPr>
      </w:pPr>
      <w:r>
        <w:t>The overall aims of the experiments</w:t>
      </w:r>
    </w:p>
    <w:p w:rsidR="00A53442" w:rsidRDefault="00A53442" w:rsidP="00A53442">
      <w:pPr>
        <w:pStyle w:val="ListParagraph"/>
        <w:numPr>
          <w:ilvl w:val="0"/>
          <w:numId w:val="5"/>
        </w:numPr>
      </w:pPr>
      <w:r>
        <w:t>How the radars working together will address these aims</w:t>
      </w:r>
    </w:p>
    <w:p w:rsidR="00A53442" w:rsidRDefault="00A53442" w:rsidP="00A53442">
      <w:pPr>
        <w:pStyle w:val="ListParagraph"/>
        <w:numPr>
          <w:ilvl w:val="0"/>
          <w:numId w:val="5"/>
        </w:numPr>
      </w:pPr>
      <w:r>
        <w:t>If it is a repeat experiment, why it is needed, perhaps including results from previous attempts</w:t>
      </w:r>
    </w:p>
    <w:sectPr w:rsidR="00A53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96A12"/>
    <w:multiLevelType w:val="hybridMultilevel"/>
    <w:tmpl w:val="FED82CC2"/>
    <w:lvl w:ilvl="0" w:tplc="C83A00B4">
      <w:start w:val="3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5649A"/>
    <w:multiLevelType w:val="hybridMultilevel"/>
    <w:tmpl w:val="4AD40054"/>
    <w:lvl w:ilvl="0" w:tplc="C83A00B4">
      <w:start w:val="3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85E99"/>
    <w:multiLevelType w:val="hybridMultilevel"/>
    <w:tmpl w:val="BCBC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42CD9"/>
    <w:multiLevelType w:val="hybridMultilevel"/>
    <w:tmpl w:val="D25ED6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0E25F8"/>
    <w:multiLevelType w:val="hybridMultilevel"/>
    <w:tmpl w:val="D63EAD3A"/>
    <w:lvl w:ilvl="0" w:tplc="017AF880">
      <w:start w:val="3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AF"/>
    <w:rsid w:val="00025D5E"/>
    <w:rsid w:val="00096E9F"/>
    <w:rsid w:val="000C377E"/>
    <w:rsid w:val="000E1D93"/>
    <w:rsid w:val="003C3517"/>
    <w:rsid w:val="00405369"/>
    <w:rsid w:val="004054DA"/>
    <w:rsid w:val="00517FAF"/>
    <w:rsid w:val="00711BF9"/>
    <w:rsid w:val="008A3FC2"/>
    <w:rsid w:val="008F41B8"/>
    <w:rsid w:val="00937725"/>
    <w:rsid w:val="009F039A"/>
    <w:rsid w:val="00A53442"/>
    <w:rsid w:val="00AE4B4A"/>
    <w:rsid w:val="00B678D2"/>
    <w:rsid w:val="00B82DCD"/>
    <w:rsid w:val="00BD44C7"/>
    <w:rsid w:val="00E330BD"/>
    <w:rsid w:val="00F07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2E668-0767-4345-98F3-720D3DD4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7F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7F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7F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F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17FA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17F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17FA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96E9F"/>
    <w:pPr>
      <w:ind w:left="720"/>
      <w:contextualSpacing/>
    </w:pPr>
  </w:style>
  <w:style w:type="table" w:styleId="TableGrid">
    <w:name w:val="Table Grid"/>
    <w:basedOn w:val="TableNormal"/>
    <w:uiPriority w:val="39"/>
    <w:rsid w:val="008A3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1D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cat.se/about/sites/eiscat-tromso-si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algary.ca/aurora/projects/risrc" TargetMode="External"/><Relationship Id="rId12" Type="http://schemas.openxmlformats.org/officeDocument/2006/relationships/hyperlink" Target="http://pansy.eps.s.u-tokyo.ac.jp/en/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isr.com/amisr/about/resolute-bay-isrs/" TargetMode="External"/><Relationship Id="rId11" Type="http://schemas.openxmlformats.org/officeDocument/2006/relationships/hyperlink" Target="https://www.naic.edu/ao/landing" TargetMode="External"/><Relationship Id="rId5" Type="http://schemas.openxmlformats.org/officeDocument/2006/relationships/hyperlink" Target="http://amisr.com/amisr/about/about_pfisr/" TargetMode="External"/><Relationship Id="rId10" Type="http://schemas.openxmlformats.org/officeDocument/2006/relationships/hyperlink" Target="https://www.haystack.mit.edu/obs/mhr/index.html" TargetMode="External"/><Relationship Id="rId4" Type="http://schemas.openxmlformats.org/officeDocument/2006/relationships/webSettings" Target="webSettings.xml"/><Relationship Id="rId9" Type="http://schemas.openxmlformats.org/officeDocument/2006/relationships/hyperlink" Target="https://www.eiscat.se/about/sites/eiscat-svalbard-rad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Natural Environment Research Council</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Andrew J.</dc:creator>
  <cp:keywords/>
  <dc:description/>
  <cp:lastModifiedBy>Windows User</cp:lastModifiedBy>
  <cp:revision>2</cp:revision>
  <dcterms:created xsi:type="dcterms:W3CDTF">2019-05-15T20:02:00Z</dcterms:created>
  <dcterms:modified xsi:type="dcterms:W3CDTF">2019-05-15T20:02:00Z</dcterms:modified>
</cp:coreProperties>
</file>